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29" w:rsidRPr="00B17529" w:rsidRDefault="00B17529" w:rsidP="00B17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pl-PL"/>
        </w:rPr>
        <w:t>TRANSPORT LOTNICZY – KONWENCJE, INFRASTRUKTURA</w:t>
      </w:r>
    </w:p>
    <w:p w:rsidR="00B17529" w:rsidRPr="00B17529" w:rsidRDefault="00B17529" w:rsidP="000A5B0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b/>
          <w:bCs/>
          <w:color w:val="1F1F1F"/>
          <w:sz w:val="24"/>
          <w:szCs w:val="24"/>
          <w:lang w:eastAsia="pl-PL"/>
        </w:rPr>
        <w:t>KONWENCJA WARSZAWSKA </w:t>
      </w: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dotyczy zasad realizacji przewozów pasażerskich i towarowych transportem lotniczym (12.10.1929 r.). Reguluje następujące zagadnienia:</w:t>
      </w:r>
    </w:p>
    <w:p w:rsidR="00B17529" w:rsidRPr="00B17529" w:rsidRDefault="00B17529" w:rsidP="00B17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definiuje międzynarodowy przewóz lotniczy,</w:t>
      </w:r>
    </w:p>
    <w:p w:rsidR="00B17529" w:rsidRPr="00B17529" w:rsidRDefault="00B17529" w:rsidP="00B17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ujednolica dokumenty przewozowe,</w:t>
      </w:r>
    </w:p>
    <w:p w:rsidR="00B17529" w:rsidRPr="00B17529" w:rsidRDefault="00B17529" w:rsidP="00B17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ujednolica zasady odpowiedzialności przewoźnika lotniczego,</w:t>
      </w:r>
    </w:p>
    <w:p w:rsidR="00B17529" w:rsidRPr="00B17529" w:rsidRDefault="00B17529" w:rsidP="00B17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określa sposób dochodzenia roszczeń</w:t>
      </w:r>
    </w:p>
    <w:p w:rsidR="00B17529" w:rsidRPr="00B7763D" w:rsidRDefault="00B17529" w:rsidP="000A5B0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b/>
          <w:bCs/>
          <w:color w:val="1F1F1F"/>
          <w:sz w:val="24"/>
          <w:szCs w:val="24"/>
          <w:lang w:eastAsia="pl-PL"/>
        </w:rPr>
        <w:t>Konwencja chicagowska</w:t>
      </w: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 xml:space="preserve"> (o międzynarodowym lotnictwie cywilnym – 7.12.1944r.) weszła w życie 4.04.1947 r. Jest głównym aktem prawnym normującym międzynarodową działalność lotnictwa cywilnego. Zawiera przepisy dotyczące zwierzchnictwa w </w:t>
      </w:r>
      <w:proofErr w:type="spellStart"/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przesterzeni</w:t>
      </w:r>
      <w:proofErr w:type="spellEnd"/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 xml:space="preserve"> powietrznej, rejestracji statków powietrznych, wzajemnego uznawania licencji i certyfikatów, zakazu używania broni wobec cywilnego statku powietrznego, międzynarodowych standardów i zalecanych metod </w:t>
      </w:r>
      <w:r w:rsidRPr="00B7763D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postępowania, a także inne prawa państw sygnatariuszy.</w:t>
      </w:r>
    </w:p>
    <w:p w:rsidR="00B17529" w:rsidRDefault="00B17529" w:rsidP="000A5B0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7763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 xml:space="preserve">DGR </w:t>
      </w:r>
      <w:r w:rsidR="00B7763D" w:rsidRPr="00B7763D">
        <w:rPr>
          <w:rFonts w:ascii="Arial" w:hAnsi="Arial" w:cs="Arial"/>
          <w:color w:val="C00000"/>
          <w:sz w:val="24"/>
          <w:szCs w:val="24"/>
        </w:rPr>
        <w:t>(</w:t>
      </w:r>
      <w:proofErr w:type="spellStart"/>
      <w:r w:rsidR="00B7763D" w:rsidRPr="00B7763D">
        <w:rPr>
          <w:rFonts w:ascii="Arial" w:hAnsi="Arial" w:cs="Arial"/>
          <w:color w:val="C00000"/>
          <w:sz w:val="24"/>
          <w:szCs w:val="24"/>
        </w:rPr>
        <w:t>Dangerous</w:t>
      </w:r>
      <w:proofErr w:type="spellEnd"/>
      <w:r w:rsidR="00B7763D" w:rsidRPr="00B7763D">
        <w:rPr>
          <w:rFonts w:ascii="Arial" w:hAnsi="Arial" w:cs="Arial"/>
          <w:color w:val="C00000"/>
          <w:sz w:val="24"/>
          <w:szCs w:val="24"/>
        </w:rPr>
        <w:t xml:space="preserve"> </w:t>
      </w:r>
      <w:proofErr w:type="spellStart"/>
      <w:r w:rsidR="00B7763D" w:rsidRPr="00B7763D">
        <w:rPr>
          <w:rFonts w:ascii="Arial" w:hAnsi="Arial" w:cs="Arial"/>
          <w:color w:val="C00000"/>
          <w:sz w:val="24"/>
          <w:szCs w:val="24"/>
        </w:rPr>
        <w:t>Goods</w:t>
      </w:r>
      <w:proofErr w:type="spellEnd"/>
      <w:r w:rsidR="00B7763D" w:rsidRPr="00B7763D">
        <w:rPr>
          <w:rFonts w:ascii="Arial" w:hAnsi="Arial" w:cs="Arial"/>
          <w:color w:val="C00000"/>
          <w:sz w:val="24"/>
          <w:szCs w:val="24"/>
        </w:rPr>
        <w:t xml:space="preserve"> </w:t>
      </w:r>
      <w:proofErr w:type="spellStart"/>
      <w:r w:rsidR="00B7763D" w:rsidRPr="00B7763D">
        <w:rPr>
          <w:rFonts w:ascii="Arial" w:hAnsi="Arial" w:cs="Arial"/>
          <w:color w:val="C00000"/>
          <w:sz w:val="24"/>
          <w:szCs w:val="24"/>
        </w:rPr>
        <w:t>Regulations</w:t>
      </w:r>
      <w:proofErr w:type="spellEnd"/>
      <w:r w:rsidR="00B7763D" w:rsidRPr="00B7763D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)</w:t>
      </w:r>
      <w:r w:rsidR="00383413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 xml:space="preserve"> </w:t>
      </w:r>
      <w:r w:rsidRPr="00D23F2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zbiór przepisów regulujących sposób przewozu drogą lotniczą materiałów </w:t>
      </w:r>
      <w:proofErr w:type="spellStart"/>
      <w:r w:rsidRPr="00D23F23">
        <w:rPr>
          <w:rFonts w:ascii="Arial" w:eastAsia="Times New Roman" w:hAnsi="Arial" w:cs="Arial"/>
          <w:bCs/>
          <w:sz w:val="24"/>
          <w:szCs w:val="24"/>
          <w:lang w:eastAsia="pl-PL"/>
        </w:rPr>
        <w:t>niebezpiecznych</w:t>
      </w:r>
      <w:r w:rsidR="000D79C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obowiązuje</w:t>
      </w:r>
      <w:proofErr w:type="spellEnd"/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 xml:space="preserve"> we wszystkich krajach członkowskich Międzynarodowego Zrzeszenia Transportu Lotniczego – </w:t>
      </w:r>
      <w:r w:rsidRPr="00B17529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IATA)</w:t>
      </w: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.</w:t>
      </w:r>
    </w:p>
    <w:p w:rsidR="00777416" w:rsidRPr="00777416" w:rsidRDefault="00777416" w:rsidP="007774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416">
        <w:rPr>
          <w:rFonts w:ascii="Arial" w:eastAsia="Times New Roman" w:hAnsi="Arial" w:cs="Arial"/>
          <w:sz w:val="24"/>
          <w:szCs w:val="24"/>
          <w:lang w:eastAsia="pl-PL"/>
        </w:rPr>
        <w:t>Głównym zadaniem organizacji jest wsparcie dla przemysłu lotniczego w sprawach uczciwej konkurencji oraz jednorodności cen biletów: z tego względu IATA podzieliła świat na trzy regiony:</w:t>
      </w:r>
    </w:p>
    <w:p w:rsidR="00777416" w:rsidRPr="00777416" w:rsidRDefault="00777416" w:rsidP="00777416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pl-PL"/>
        </w:rPr>
      </w:pPr>
      <w:r w:rsidRPr="00777416">
        <w:rPr>
          <w:rFonts w:ascii="Arial" w:eastAsia="Times New Roman" w:hAnsi="Arial" w:cs="Arial"/>
          <w:sz w:val="24"/>
          <w:szCs w:val="24"/>
          <w:lang w:eastAsia="pl-PL"/>
        </w:rPr>
        <w:t xml:space="preserve">strefa 1. NORAM i LATAM (North America and </w:t>
      </w:r>
      <w:proofErr w:type="spellStart"/>
      <w:r w:rsidRPr="00777416">
        <w:rPr>
          <w:rFonts w:ascii="Arial" w:eastAsia="Times New Roman" w:hAnsi="Arial" w:cs="Arial"/>
          <w:sz w:val="24"/>
          <w:szCs w:val="24"/>
          <w:lang w:eastAsia="pl-PL"/>
        </w:rPr>
        <w:t>Latin</w:t>
      </w:r>
      <w:proofErr w:type="spellEnd"/>
      <w:r w:rsidRPr="00777416">
        <w:rPr>
          <w:rFonts w:ascii="Arial" w:eastAsia="Times New Roman" w:hAnsi="Arial" w:cs="Arial"/>
          <w:sz w:val="24"/>
          <w:szCs w:val="24"/>
          <w:lang w:eastAsia="pl-PL"/>
        </w:rPr>
        <w:t xml:space="preserve"> America)- </w:t>
      </w:r>
      <w:hyperlink r:id="rId5" w:history="1">
        <w:r w:rsidRPr="00777416">
          <w:rPr>
            <w:rFonts w:ascii="Arial" w:eastAsia="Times New Roman" w:hAnsi="Arial" w:cs="Arial"/>
            <w:sz w:val="24"/>
            <w:szCs w:val="24"/>
            <w:lang w:eastAsia="pl-PL"/>
          </w:rPr>
          <w:t>Północna</w:t>
        </w:r>
      </w:hyperlink>
      <w:r w:rsidRPr="00777416">
        <w:rPr>
          <w:rFonts w:ascii="Arial" w:eastAsia="Times New Roman" w:hAnsi="Arial" w:cs="Arial"/>
          <w:sz w:val="24"/>
          <w:szCs w:val="24"/>
          <w:lang w:eastAsia="pl-PL"/>
        </w:rPr>
        <w:t> i </w:t>
      </w:r>
      <w:hyperlink r:id="rId6" w:history="1">
        <w:r w:rsidRPr="00777416">
          <w:rPr>
            <w:rFonts w:ascii="Arial" w:eastAsia="Times New Roman" w:hAnsi="Arial" w:cs="Arial"/>
            <w:sz w:val="24"/>
            <w:szCs w:val="24"/>
            <w:lang w:eastAsia="pl-PL"/>
          </w:rPr>
          <w:t>Południowa Ameryka</w:t>
        </w:r>
      </w:hyperlink>
      <w:r w:rsidRPr="007774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777416" w:rsidRPr="00777416" w:rsidRDefault="00777416" w:rsidP="00777416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pl-PL"/>
        </w:rPr>
      </w:pPr>
      <w:r w:rsidRPr="00777416">
        <w:rPr>
          <w:rFonts w:ascii="Arial" w:eastAsia="Times New Roman" w:hAnsi="Arial" w:cs="Arial"/>
          <w:sz w:val="24"/>
          <w:szCs w:val="24"/>
          <w:lang w:eastAsia="pl-PL"/>
        </w:rPr>
        <w:t xml:space="preserve">strefa 2. EMEA (ang. Europe, Middle East and </w:t>
      </w:r>
      <w:proofErr w:type="spellStart"/>
      <w:r w:rsidRPr="00777416">
        <w:rPr>
          <w:rFonts w:ascii="Arial" w:eastAsia="Times New Roman" w:hAnsi="Arial" w:cs="Arial"/>
          <w:sz w:val="24"/>
          <w:szCs w:val="24"/>
          <w:lang w:eastAsia="pl-PL"/>
        </w:rPr>
        <w:t>Africa</w:t>
      </w:r>
      <w:proofErr w:type="spellEnd"/>
      <w:r w:rsidRPr="00777416">
        <w:rPr>
          <w:rFonts w:ascii="Arial" w:eastAsia="Times New Roman" w:hAnsi="Arial" w:cs="Arial"/>
          <w:sz w:val="24"/>
          <w:szCs w:val="24"/>
          <w:lang w:eastAsia="pl-PL"/>
        </w:rPr>
        <w:t>) - </w:t>
      </w:r>
      <w:hyperlink r:id="rId7" w:history="1">
        <w:r w:rsidRPr="00777416">
          <w:rPr>
            <w:rFonts w:ascii="Arial" w:eastAsia="Times New Roman" w:hAnsi="Arial" w:cs="Arial"/>
            <w:sz w:val="24"/>
            <w:szCs w:val="24"/>
            <w:lang w:eastAsia="pl-PL"/>
          </w:rPr>
          <w:t>Europa</w:t>
        </w:r>
      </w:hyperlink>
      <w:r w:rsidRPr="00777416">
        <w:rPr>
          <w:rFonts w:ascii="Arial" w:eastAsia="Times New Roman" w:hAnsi="Arial" w:cs="Arial"/>
          <w:sz w:val="24"/>
          <w:szCs w:val="24"/>
          <w:lang w:eastAsia="pl-PL"/>
        </w:rPr>
        <w:t>, Kraje Bliskiego Wschodu i </w:t>
      </w:r>
      <w:hyperlink r:id="rId8" w:history="1">
        <w:r w:rsidRPr="00777416">
          <w:rPr>
            <w:rFonts w:ascii="Arial" w:eastAsia="Times New Roman" w:hAnsi="Arial" w:cs="Arial"/>
            <w:sz w:val="24"/>
            <w:szCs w:val="24"/>
            <w:lang w:eastAsia="pl-PL"/>
          </w:rPr>
          <w:t>Afryka</w:t>
        </w:r>
      </w:hyperlink>
      <w:r w:rsidRPr="007774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777416" w:rsidRPr="00777416" w:rsidRDefault="00777416" w:rsidP="00777416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pl-PL"/>
        </w:rPr>
      </w:pPr>
      <w:r w:rsidRPr="00777416">
        <w:rPr>
          <w:rFonts w:ascii="Arial" w:eastAsia="Times New Roman" w:hAnsi="Arial" w:cs="Arial"/>
          <w:sz w:val="24"/>
          <w:szCs w:val="24"/>
          <w:lang w:eastAsia="pl-PL"/>
        </w:rPr>
        <w:t>strefa 3. APAC (ang. Asia and Pacific)- </w:t>
      </w:r>
      <w:hyperlink r:id="rId9" w:history="1">
        <w:r w:rsidRPr="00777416">
          <w:rPr>
            <w:rFonts w:ascii="Arial" w:eastAsia="Times New Roman" w:hAnsi="Arial" w:cs="Arial"/>
            <w:sz w:val="24"/>
            <w:szCs w:val="24"/>
            <w:lang w:eastAsia="pl-PL"/>
          </w:rPr>
          <w:t>Azja</w:t>
        </w:r>
      </w:hyperlink>
      <w:r w:rsidRPr="00777416">
        <w:rPr>
          <w:rFonts w:ascii="Arial" w:eastAsia="Times New Roman" w:hAnsi="Arial" w:cs="Arial"/>
          <w:sz w:val="24"/>
          <w:szCs w:val="24"/>
          <w:lang w:eastAsia="pl-PL"/>
        </w:rPr>
        <w:t>, </w:t>
      </w:r>
      <w:hyperlink r:id="rId10" w:history="1">
        <w:r w:rsidRPr="00777416">
          <w:rPr>
            <w:rFonts w:ascii="Arial" w:eastAsia="Times New Roman" w:hAnsi="Arial" w:cs="Arial"/>
            <w:sz w:val="24"/>
            <w:szCs w:val="24"/>
            <w:lang w:eastAsia="pl-PL"/>
          </w:rPr>
          <w:t>Australia</w:t>
        </w:r>
      </w:hyperlink>
      <w:r w:rsidRPr="00777416">
        <w:rPr>
          <w:rFonts w:ascii="Arial" w:eastAsia="Times New Roman" w:hAnsi="Arial" w:cs="Arial"/>
          <w:sz w:val="24"/>
          <w:szCs w:val="24"/>
          <w:lang w:eastAsia="pl-PL"/>
        </w:rPr>
        <w:t>, </w:t>
      </w:r>
      <w:hyperlink r:id="rId11" w:history="1">
        <w:r w:rsidRPr="00777416">
          <w:rPr>
            <w:rFonts w:ascii="Arial" w:eastAsia="Times New Roman" w:hAnsi="Arial" w:cs="Arial"/>
            <w:sz w:val="24"/>
            <w:szCs w:val="24"/>
            <w:lang w:eastAsia="pl-PL"/>
          </w:rPr>
          <w:t>Nowa Zelandia</w:t>
        </w:r>
      </w:hyperlink>
      <w:r w:rsidRPr="00777416">
        <w:rPr>
          <w:rFonts w:ascii="Arial" w:eastAsia="Times New Roman" w:hAnsi="Arial" w:cs="Arial"/>
          <w:sz w:val="24"/>
          <w:szCs w:val="24"/>
          <w:lang w:eastAsia="pl-PL"/>
        </w:rPr>
        <w:t> oraz Wyspy Pacyfiku</w:t>
      </w:r>
    </w:p>
    <w:p w:rsidR="00D23F23" w:rsidRPr="00D23F23" w:rsidRDefault="00383413" w:rsidP="00D23F2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</w:pPr>
      <w:r w:rsidRPr="00D23F23">
        <w:rPr>
          <w:rFonts w:ascii="Arial" w:hAnsi="Arial" w:cs="Arial"/>
          <w:b/>
          <w:bCs/>
          <w:color w:val="C00000"/>
          <w:sz w:val="24"/>
          <w:szCs w:val="24"/>
          <w:u w:val="single"/>
          <w:shd w:val="clear" w:color="auto" w:fill="FFFFFF"/>
        </w:rPr>
        <w:t>Organizacja Międzynarodowego Lotnictwa Cywilnego</w:t>
      </w:r>
      <w:r w:rsidRPr="00383413">
        <w:rPr>
          <w:rFonts w:ascii="Arial" w:hAnsi="Arial" w:cs="Arial"/>
          <w:color w:val="202122"/>
          <w:sz w:val="24"/>
          <w:szCs w:val="24"/>
          <w:shd w:val="clear" w:color="auto" w:fill="FFFFFF"/>
        </w:rPr>
        <w:t> ( </w:t>
      </w:r>
      <w:r w:rsidRPr="00383413">
        <w:rPr>
          <w:rStyle w:val="Uwydatnienie"/>
          <w:rFonts w:ascii="Arial" w:hAnsi="Arial" w:cs="Arial"/>
          <w:color w:val="202122"/>
          <w:sz w:val="24"/>
          <w:szCs w:val="24"/>
          <w:shd w:val="clear" w:color="auto" w:fill="FFFFFF"/>
          <w:lang/>
        </w:rPr>
        <w:t>International Civil Aviation Organization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) </w:t>
      </w:r>
      <w:r w:rsidRPr="00383413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383413"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  <w:t>ICAO;</w:t>
      </w:r>
      <w:r w:rsidR="00D23F23"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  <w:t xml:space="preserve">   </w:t>
      </w:r>
      <w:r w:rsidR="00D23F23" w:rsidRPr="00D23F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Członkowie: </w:t>
      </w:r>
      <w:r w:rsidR="00D23F23" w:rsidRPr="00D23F23">
        <w:rPr>
          <w:rFonts w:ascii="Arial" w:eastAsia="Times New Roman" w:hAnsi="Arial" w:cs="Arial"/>
          <w:sz w:val="24"/>
          <w:szCs w:val="24"/>
          <w:lang w:eastAsia="pl-PL"/>
        </w:rPr>
        <w:t>193 państwa</w:t>
      </w:r>
      <w:r w:rsidR="00D23F23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D23F23" w:rsidRPr="00D23F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Siedziba: </w:t>
      </w:r>
      <w:r w:rsidR="00D23F23" w:rsidRPr="00D23F23">
        <w:rPr>
          <w:rFonts w:ascii="Arial" w:eastAsia="Times New Roman" w:hAnsi="Arial" w:cs="Arial"/>
          <w:sz w:val="24"/>
          <w:szCs w:val="24"/>
          <w:lang w:eastAsia="pl-PL"/>
        </w:rPr>
        <w:t>Montreal</w:t>
      </w:r>
    </w:p>
    <w:p w:rsidR="000A5B0C" w:rsidRPr="00383413" w:rsidRDefault="00B17529" w:rsidP="008F64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USTAWA o PAŻP  (Polskiej Agencji Żeglugi Powietrznej) – obejmuje </w:t>
      </w:r>
      <w:r w:rsidRPr="00B17529">
        <w:rPr>
          <w:rFonts w:ascii="Arial" w:eastAsia="Times New Roman" w:hAnsi="Arial" w:cs="Arial"/>
          <w:b/>
          <w:bCs/>
          <w:color w:val="1F1F1F"/>
          <w:sz w:val="24"/>
          <w:szCs w:val="24"/>
          <w:lang w:eastAsia="pl-PL"/>
        </w:rPr>
        <w:t>zapewnienie bezpieczeństwa żeglugi powietrznej</w:t>
      </w: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 nad terytorium naszego państwa..</w:t>
      </w:r>
    </w:p>
    <w:p w:rsidR="00B17529" w:rsidRPr="00B17529" w:rsidRDefault="00B17529" w:rsidP="00B17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b/>
          <w:bCs/>
          <w:color w:val="1F1F1F"/>
          <w:sz w:val="24"/>
          <w:szCs w:val="24"/>
          <w:lang w:eastAsia="pl-PL"/>
        </w:rPr>
        <w:t>Podział środków transportu lotniczego:</w:t>
      </w:r>
    </w:p>
    <w:p w:rsidR="00B17529" w:rsidRPr="008F6422" w:rsidRDefault="00B17529" w:rsidP="008F642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6422">
        <w:rPr>
          <w:rFonts w:ascii="Arial" w:hAnsi="Arial" w:cs="Arial"/>
          <w:sz w:val="24"/>
          <w:szCs w:val="24"/>
          <w:lang w:eastAsia="pl-PL"/>
        </w:rPr>
        <w:t>a) ze względu na przeznaczenie [ towarowe, pasażerskie, kombi, wojskowe, cywilne i osobiste];</w:t>
      </w:r>
    </w:p>
    <w:p w:rsidR="00B17529" w:rsidRPr="008F6422" w:rsidRDefault="00B17529" w:rsidP="008F642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6422">
        <w:rPr>
          <w:rFonts w:ascii="Arial" w:hAnsi="Arial" w:cs="Arial"/>
          <w:sz w:val="24"/>
          <w:szCs w:val="24"/>
          <w:lang w:eastAsia="pl-PL"/>
        </w:rPr>
        <w:t>b)ze względu na liczbę płatów [ jednop</w:t>
      </w:r>
      <w:r w:rsidR="000A5B0C" w:rsidRPr="008F6422">
        <w:rPr>
          <w:rFonts w:ascii="Arial" w:hAnsi="Arial" w:cs="Arial"/>
          <w:sz w:val="24"/>
          <w:szCs w:val="24"/>
          <w:lang w:eastAsia="pl-PL"/>
        </w:rPr>
        <w:t>łatowe, dwupłatowe, trójpłatowe]</w:t>
      </w:r>
      <w:r w:rsidRPr="008F6422">
        <w:rPr>
          <w:rFonts w:ascii="Arial" w:hAnsi="Arial" w:cs="Arial"/>
          <w:sz w:val="24"/>
          <w:szCs w:val="24"/>
          <w:lang w:eastAsia="pl-PL"/>
        </w:rPr>
        <w:t>;</w:t>
      </w:r>
    </w:p>
    <w:p w:rsidR="00B17529" w:rsidRPr="008F6422" w:rsidRDefault="00B17529" w:rsidP="008F642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6422">
        <w:rPr>
          <w:rFonts w:ascii="Arial" w:hAnsi="Arial" w:cs="Arial"/>
          <w:sz w:val="24"/>
          <w:szCs w:val="24"/>
          <w:lang w:eastAsia="pl-PL"/>
        </w:rPr>
        <w:t>c) ze względu na liczbę silników [ jednosilnikowe, wielosilnikowe ],</w:t>
      </w:r>
    </w:p>
    <w:p w:rsidR="00B17529" w:rsidRPr="008F6422" w:rsidRDefault="00B17529" w:rsidP="008F642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6422">
        <w:rPr>
          <w:rFonts w:ascii="Arial" w:hAnsi="Arial" w:cs="Arial"/>
          <w:sz w:val="24"/>
          <w:szCs w:val="24"/>
          <w:lang w:eastAsia="pl-PL"/>
        </w:rPr>
        <w:lastRenderedPageBreak/>
        <w:t>d) ze względu na umocowanie głównego płatu [ dolnopłaty, centropłaty, górnopłaty ].</w:t>
      </w:r>
    </w:p>
    <w:p w:rsidR="008F6422" w:rsidRDefault="008F6422" w:rsidP="008F6422">
      <w:pPr>
        <w:pStyle w:val="Bezodstpw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17529" w:rsidRPr="008F6422" w:rsidRDefault="00B17529" w:rsidP="008F642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6422">
        <w:rPr>
          <w:rFonts w:ascii="Arial" w:hAnsi="Arial" w:cs="Arial"/>
          <w:b/>
          <w:bCs/>
          <w:sz w:val="24"/>
          <w:szCs w:val="24"/>
          <w:lang w:eastAsia="pl-PL"/>
        </w:rPr>
        <w:t>Samoloty towarowe</w:t>
      </w:r>
      <w:r w:rsidRPr="008F6422">
        <w:rPr>
          <w:rFonts w:ascii="Arial" w:hAnsi="Arial" w:cs="Arial"/>
          <w:sz w:val="24"/>
          <w:szCs w:val="24"/>
          <w:lang w:eastAsia="pl-PL"/>
        </w:rPr>
        <w:t xml:space="preserve"> [ służą do przewozu ładunków o łącznej masie od 40 do 250 </w:t>
      </w:r>
      <w:r w:rsidR="000A5B0C" w:rsidRPr="008F6422">
        <w:rPr>
          <w:rFonts w:ascii="Arial" w:hAnsi="Arial" w:cs="Arial"/>
          <w:sz w:val="24"/>
          <w:szCs w:val="24"/>
          <w:lang w:eastAsia="pl-PL"/>
        </w:rPr>
        <w:t xml:space="preserve">t] </w:t>
      </w:r>
    </w:p>
    <w:p w:rsidR="008F6422" w:rsidRDefault="008F6422" w:rsidP="008F6422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8F6422" w:rsidRPr="008F6422" w:rsidRDefault="008F6422" w:rsidP="008F642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S</w:t>
      </w:r>
      <w:r w:rsidRPr="008F6422">
        <w:rPr>
          <w:rFonts w:ascii="Arial" w:hAnsi="Arial" w:cs="Arial"/>
          <w:sz w:val="24"/>
          <w:szCs w:val="24"/>
          <w:lang w:eastAsia="pl-PL"/>
        </w:rPr>
        <w:t>amoloty kombi - to połączenie samolotu pasażerskiego i towarowego , część towarowa znajduje się pod pokładem i w tylnej części samolotu</w:t>
      </w:r>
    </w:p>
    <w:p w:rsidR="008F6422" w:rsidRDefault="008F6422" w:rsidP="008F6422">
      <w:pPr>
        <w:pStyle w:val="Bezodstpw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A5B0C" w:rsidRPr="008F6422" w:rsidRDefault="00B17529" w:rsidP="008F6422">
      <w:pPr>
        <w:pStyle w:val="Bezodstpw"/>
        <w:rPr>
          <w:rFonts w:ascii="Arial" w:hAnsi="Arial" w:cs="Arial"/>
          <w:b/>
          <w:bCs/>
          <w:sz w:val="24"/>
          <w:szCs w:val="24"/>
          <w:lang w:eastAsia="pl-PL"/>
        </w:rPr>
      </w:pPr>
      <w:r w:rsidRPr="008F6422">
        <w:rPr>
          <w:rFonts w:ascii="Arial" w:hAnsi="Arial" w:cs="Arial"/>
          <w:b/>
          <w:bCs/>
          <w:sz w:val="24"/>
          <w:szCs w:val="24"/>
          <w:lang w:eastAsia="pl-PL"/>
        </w:rPr>
        <w:t>Transport realizowany jest</w:t>
      </w:r>
      <w:r w:rsidR="000A5B0C" w:rsidRPr="008F6422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Pr="008F6422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:rsidR="000A5B0C" w:rsidRPr="008F6422" w:rsidRDefault="000A5B0C" w:rsidP="008F642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6422">
        <w:rPr>
          <w:rFonts w:ascii="Arial" w:hAnsi="Arial" w:cs="Arial"/>
          <w:b/>
          <w:bCs/>
          <w:sz w:val="24"/>
          <w:szCs w:val="24"/>
          <w:lang w:eastAsia="pl-PL"/>
        </w:rPr>
        <w:t xml:space="preserve">a) </w:t>
      </w:r>
      <w:r w:rsidR="00B17529" w:rsidRPr="008F6422">
        <w:rPr>
          <w:rFonts w:ascii="Arial" w:hAnsi="Arial" w:cs="Arial"/>
          <w:b/>
          <w:bCs/>
          <w:sz w:val="24"/>
          <w:szCs w:val="24"/>
          <w:lang w:eastAsia="pl-PL"/>
        </w:rPr>
        <w:t>w ruchu regularnym</w:t>
      </w:r>
      <w:r w:rsidR="00B17529" w:rsidRPr="008F6422">
        <w:rPr>
          <w:rFonts w:ascii="Arial" w:hAnsi="Arial" w:cs="Arial"/>
          <w:sz w:val="24"/>
          <w:szCs w:val="24"/>
          <w:lang w:eastAsia="pl-PL"/>
        </w:rPr>
        <w:t> (</w:t>
      </w:r>
      <w:r w:rsidR="00B17529" w:rsidRPr="008F6422">
        <w:rPr>
          <w:rFonts w:ascii="Arial" w:hAnsi="Arial" w:cs="Arial"/>
          <w:b/>
          <w:bCs/>
          <w:color w:val="FF0000"/>
          <w:sz w:val="24"/>
          <w:szCs w:val="24"/>
          <w:lang w:eastAsia="pl-PL"/>
        </w:rPr>
        <w:t> liniowym</w:t>
      </w:r>
      <w:r w:rsidR="00B17529" w:rsidRPr="008F6422">
        <w:rPr>
          <w:rFonts w:ascii="Arial" w:hAnsi="Arial" w:cs="Arial"/>
          <w:sz w:val="24"/>
          <w:szCs w:val="24"/>
          <w:lang w:eastAsia="pl-PL"/>
        </w:rPr>
        <w:t> – do transportu ładunków wykorzystywane są dostępne rodzaje samolotów – przewożone drobne ładunki ) oraz </w:t>
      </w:r>
    </w:p>
    <w:p w:rsidR="00B17529" w:rsidRPr="008F6422" w:rsidRDefault="000A5B0C" w:rsidP="008F642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6422">
        <w:rPr>
          <w:rFonts w:ascii="Arial" w:hAnsi="Arial" w:cs="Arial"/>
          <w:b/>
          <w:sz w:val="24"/>
          <w:szCs w:val="24"/>
          <w:lang w:eastAsia="pl-PL"/>
        </w:rPr>
        <w:t>b)</w:t>
      </w:r>
      <w:r w:rsidRPr="008F642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7529" w:rsidRPr="008F6422">
        <w:rPr>
          <w:rFonts w:ascii="Arial" w:hAnsi="Arial" w:cs="Arial"/>
          <w:b/>
          <w:bCs/>
          <w:sz w:val="24"/>
          <w:szCs w:val="24"/>
          <w:lang w:eastAsia="pl-PL"/>
        </w:rPr>
        <w:t>w ruchu nieregularnym</w:t>
      </w:r>
      <w:r w:rsidR="00B17529" w:rsidRPr="008F6422">
        <w:rPr>
          <w:rFonts w:ascii="Arial" w:hAnsi="Arial" w:cs="Arial"/>
          <w:sz w:val="24"/>
          <w:szCs w:val="24"/>
          <w:lang w:eastAsia="pl-PL"/>
        </w:rPr>
        <w:t> (</w:t>
      </w:r>
      <w:r w:rsidR="00B17529" w:rsidRPr="008F6422">
        <w:rPr>
          <w:rFonts w:ascii="Arial" w:hAnsi="Arial" w:cs="Arial"/>
          <w:b/>
          <w:bCs/>
          <w:color w:val="FF0000"/>
          <w:sz w:val="24"/>
          <w:szCs w:val="24"/>
          <w:lang w:eastAsia="pl-PL"/>
        </w:rPr>
        <w:t>czarterowym</w:t>
      </w:r>
      <w:r w:rsidR="00B17529" w:rsidRPr="008F6422">
        <w:rPr>
          <w:rFonts w:ascii="Arial" w:hAnsi="Arial" w:cs="Arial"/>
          <w:sz w:val="24"/>
          <w:szCs w:val="24"/>
          <w:lang w:eastAsia="pl-PL"/>
        </w:rPr>
        <w:t> – wykorzystywane samoloty transportowe).</w:t>
      </w:r>
    </w:p>
    <w:p w:rsidR="00B17529" w:rsidRPr="008F6422" w:rsidRDefault="00B17529" w:rsidP="008F642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F6422">
        <w:rPr>
          <w:rFonts w:ascii="Arial" w:hAnsi="Arial" w:cs="Arial"/>
          <w:b/>
          <w:bCs/>
          <w:sz w:val="24"/>
          <w:szCs w:val="24"/>
          <w:lang w:eastAsia="pl-PL"/>
        </w:rPr>
        <w:t>Samoloty typu kombi</w:t>
      </w:r>
      <w:r w:rsidRPr="008F6422">
        <w:rPr>
          <w:rFonts w:ascii="Arial" w:hAnsi="Arial" w:cs="Arial"/>
          <w:sz w:val="24"/>
          <w:szCs w:val="24"/>
          <w:lang w:eastAsia="pl-PL"/>
        </w:rPr>
        <w:t> ( połączenie samolotów pasażerskiego i towarowego).</w:t>
      </w:r>
    </w:p>
    <w:p w:rsidR="00B17529" w:rsidRPr="00B17529" w:rsidRDefault="00B17529" w:rsidP="00B17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INTRASTRUKTURA:</w:t>
      </w:r>
    </w:p>
    <w:p w:rsidR="00B17529" w:rsidRPr="00B17529" w:rsidRDefault="00B17529" w:rsidP="000A5B0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b/>
          <w:bCs/>
          <w:color w:val="1F1F1F"/>
          <w:sz w:val="24"/>
          <w:szCs w:val="24"/>
          <w:lang w:eastAsia="pl-PL"/>
        </w:rPr>
        <w:t>infrastruktura liniowa</w:t>
      </w: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 ( drogi lotnicze, które określamy jako korytarze w przestrzeni powietrznej znajdujące się na wysokości od 900 do 12 000 m nad poziomem morza ; ich szerokość wynosi :  [ dla dróg krajowych – 10 mil morskich; dla dróg międzynarodowych – 20 mil morskich];</w:t>
      </w:r>
    </w:p>
    <w:p w:rsidR="00B17529" w:rsidRPr="00B17529" w:rsidRDefault="00B17529" w:rsidP="000A5B0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  <w:r w:rsidRPr="00B17529">
        <w:rPr>
          <w:rFonts w:ascii="Arial" w:eastAsia="Times New Roman" w:hAnsi="Arial" w:cs="Arial"/>
          <w:b/>
          <w:bCs/>
          <w:color w:val="1F1F1F"/>
          <w:sz w:val="24"/>
          <w:szCs w:val="24"/>
          <w:lang w:eastAsia="pl-PL"/>
        </w:rPr>
        <w:t>infrastruktura punktowa</w:t>
      </w:r>
      <w:r w:rsidRPr="00B17529">
        <w:rPr>
          <w:rFonts w:ascii="Arial" w:eastAsia="Times New Roman" w:hAnsi="Arial" w:cs="Arial"/>
          <w:color w:val="1F1F1F"/>
          <w:sz w:val="24"/>
          <w:szCs w:val="24"/>
          <w:lang w:eastAsia="pl-PL"/>
        </w:rPr>
        <w:t> (to wszystkie elementy, które wykorzystuje się w transporcie lotniczym : lądowiska, lotniska, porty lotnicze).</w:t>
      </w:r>
    </w:p>
    <w:p w:rsidR="00C605E1" w:rsidRPr="00D6728A" w:rsidRDefault="00C605E1" w:rsidP="00D6728A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C605E1" w:rsidRPr="00D6728A" w:rsidSect="00C6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0BB8"/>
    <w:multiLevelType w:val="hybridMultilevel"/>
    <w:tmpl w:val="9FB8DE2C"/>
    <w:lvl w:ilvl="0" w:tplc="3962C3E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2273"/>
    <w:multiLevelType w:val="multilevel"/>
    <w:tmpl w:val="2ED6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25E5E"/>
    <w:multiLevelType w:val="multilevel"/>
    <w:tmpl w:val="0E72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D5385"/>
    <w:multiLevelType w:val="multilevel"/>
    <w:tmpl w:val="C6A4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1636B"/>
    <w:multiLevelType w:val="multilevel"/>
    <w:tmpl w:val="8CB2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830C6"/>
    <w:multiLevelType w:val="multilevel"/>
    <w:tmpl w:val="A3FC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932C1"/>
    <w:multiLevelType w:val="multilevel"/>
    <w:tmpl w:val="C06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A6360F"/>
    <w:multiLevelType w:val="multilevel"/>
    <w:tmpl w:val="4230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B17529"/>
    <w:rsid w:val="000A5B0C"/>
    <w:rsid w:val="000D79CC"/>
    <w:rsid w:val="000F298A"/>
    <w:rsid w:val="00383413"/>
    <w:rsid w:val="0039095E"/>
    <w:rsid w:val="00494610"/>
    <w:rsid w:val="00617FCF"/>
    <w:rsid w:val="00777416"/>
    <w:rsid w:val="008F6422"/>
    <w:rsid w:val="00B17529"/>
    <w:rsid w:val="00B7763D"/>
    <w:rsid w:val="00B863D3"/>
    <w:rsid w:val="00C22A3D"/>
    <w:rsid w:val="00C605E1"/>
    <w:rsid w:val="00D23F23"/>
    <w:rsid w:val="00D6728A"/>
    <w:rsid w:val="00EA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7529"/>
    <w:rPr>
      <w:b/>
      <w:bCs/>
    </w:rPr>
  </w:style>
  <w:style w:type="character" w:styleId="Uwydatnienie">
    <w:name w:val="Emphasis"/>
    <w:basedOn w:val="Domylnaczcionkaakapitu"/>
    <w:uiPriority w:val="20"/>
    <w:qFormat/>
    <w:rsid w:val="00B17529"/>
    <w:rPr>
      <w:i/>
      <w:iCs/>
    </w:rPr>
  </w:style>
  <w:style w:type="paragraph" w:styleId="Akapitzlist">
    <w:name w:val="List Paragraph"/>
    <w:basedOn w:val="Normalny"/>
    <w:uiPriority w:val="34"/>
    <w:qFormat/>
    <w:rsid w:val="000A5B0C"/>
    <w:pPr>
      <w:ind w:left="720"/>
      <w:contextualSpacing/>
    </w:pPr>
  </w:style>
  <w:style w:type="paragraph" w:styleId="Bezodstpw">
    <w:name w:val="No Spacing"/>
    <w:uiPriority w:val="1"/>
    <w:qFormat/>
    <w:rsid w:val="000A5B0C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777416"/>
    <w:rPr>
      <w:color w:val="0000FF"/>
      <w:u w:val="single"/>
    </w:rPr>
  </w:style>
  <w:style w:type="character" w:customStyle="1" w:styleId="dvdnh">
    <w:name w:val="dvdnh"/>
    <w:basedOn w:val="Domylnaczcionkaakapitu"/>
    <w:rsid w:val="00D23F23"/>
  </w:style>
  <w:style w:type="character" w:customStyle="1" w:styleId="gywzne">
    <w:name w:val="gywzne"/>
    <w:basedOn w:val="Domylnaczcionkaakapitu"/>
    <w:rsid w:val="00D23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6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fry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Europ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meryka_Po%C5%82udniowa" TargetMode="External"/><Relationship Id="rId11" Type="http://schemas.openxmlformats.org/officeDocument/2006/relationships/hyperlink" Target="https://pl.wikipedia.org/wiki/Nowa_Zelandia" TargetMode="External"/><Relationship Id="rId5" Type="http://schemas.openxmlformats.org/officeDocument/2006/relationships/hyperlink" Target="https://pl.wikipedia.org/wiki/Ameryka_P%C3%B3%C5%82nocna" TargetMode="External"/><Relationship Id="rId10" Type="http://schemas.openxmlformats.org/officeDocument/2006/relationships/hyperlink" Target="https://pl.wikipedia.org/wiki/Austra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Az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12</cp:revision>
  <dcterms:created xsi:type="dcterms:W3CDTF">2020-11-30T20:17:00Z</dcterms:created>
  <dcterms:modified xsi:type="dcterms:W3CDTF">2020-12-08T09:39:00Z</dcterms:modified>
</cp:coreProperties>
</file>